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BB" w:rsidRDefault="00E53F85" w:rsidP="00E53F85">
      <w:pPr>
        <w:jc w:val="center"/>
      </w:pPr>
      <w:r>
        <w:t>GÖKSUN MESLEK YÜKSEKOKULU BÖLÜM BİLGİLERİ</w:t>
      </w:r>
    </w:p>
    <w:p w:rsidR="00E53F85" w:rsidRDefault="00504F25" w:rsidP="00E53F85">
      <w:pPr>
        <w:jc w:val="center"/>
      </w:pPr>
      <w:r>
        <w:t xml:space="preserve">DIŞ TİCARET </w:t>
      </w:r>
      <w:r w:rsidR="00E53F85">
        <w:t>BÖLÜMÜ</w:t>
      </w:r>
    </w:p>
    <w:p w:rsidR="00E53F85" w:rsidRDefault="00504F25" w:rsidP="00E53F85">
      <w:pPr>
        <w:jc w:val="center"/>
      </w:pPr>
      <w:r>
        <w:t xml:space="preserve">DIŞ </w:t>
      </w:r>
      <w:r w:rsidR="001A4BD3">
        <w:t>TİCARET PROGRAMI</w:t>
      </w:r>
    </w:p>
    <w:tbl>
      <w:tblPr>
        <w:tblStyle w:val="TabloKlavuzu"/>
        <w:tblW w:w="0" w:type="auto"/>
        <w:tblLook w:val="04A0" w:firstRow="1" w:lastRow="0" w:firstColumn="1" w:lastColumn="0" w:noHBand="0" w:noVBand="1"/>
      </w:tblPr>
      <w:tblGrid>
        <w:gridCol w:w="4531"/>
        <w:gridCol w:w="4531"/>
      </w:tblGrid>
      <w:tr w:rsidR="00504F25" w:rsidTr="00E53F85">
        <w:tc>
          <w:tcPr>
            <w:tcW w:w="4531" w:type="dxa"/>
          </w:tcPr>
          <w:p w:rsidR="00504F25" w:rsidRDefault="00504F25" w:rsidP="00504F25">
            <w:r>
              <w:t>Bölüm</w:t>
            </w:r>
          </w:p>
        </w:tc>
        <w:tc>
          <w:tcPr>
            <w:tcW w:w="4531" w:type="dxa"/>
          </w:tcPr>
          <w:p w:rsidR="00504F25" w:rsidRDefault="00504F25" w:rsidP="00504F25">
            <w:r>
              <w:t>Dış Ticaret</w:t>
            </w:r>
          </w:p>
        </w:tc>
      </w:tr>
      <w:tr w:rsidR="00504F25" w:rsidTr="00E53F85">
        <w:tc>
          <w:tcPr>
            <w:tcW w:w="4531" w:type="dxa"/>
          </w:tcPr>
          <w:p w:rsidR="00504F25" w:rsidRDefault="00504F25" w:rsidP="00504F25">
            <w:r>
              <w:t>Program</w:t>
            </w:r>
          </w:p>
        </w:tc>
        <w:tc>
          <w:tcPr>
            <w:tcW w:w="4531" w:type="dxa"/>
          </w:tcPr>
          <w:p w:rsidR="00504F25" w:rsidRDefault="00485964" w:rsidP="00504F25">
            <w:r>
              <w:t>Dış Ticaret</w:t>
            </w:r>
          </w:p>
        </w:tc>
      </w:tr>
      <w:tr w:rsidR="00504F25" w:rsidTr="00E53F85">
        <w:tc>
          <w:tcPr>
            <w:tcW w:w="4531" w:type="dxa"/>
          </w:tcPr>
          <w:p w:rsidR="00504F25" w:rsidRDefault="00504F25" w:rsidP="00504F25">
            <w:r>
              <w:t>Öğrenim Süresi</w:t>
            </w:r>
          </w:p>
        </w:tc>
        <w:tc>
          <w:tcPr>
            <w:tcW w:w="4531" w:type="dxa"/>
          </w:tcPr>
          <w:p w:rsidR="00504F25" w:rsidRDefault="00504F25" w:rsidP="00504F25">
            <w:r>
              <w:t>2 Yıl</w:t>
            </w:r>
          </w:p>
        </w:tc>
      </w:tr>
      <w:tr w:rsidR="00504F25" w:rsidTr="00E53F85">
        <w:tc>
          <w:tcPr>
            <w:tcW w:w="4531" w:type="dxa"/>
          </w:tcPr>
          <w:p w:rsidR="00504F25" w:rsidRDefault="00504F25" w:rsidP="00504F25">
            <w:r>
              <w:t>Program Kazanımları</w:t>
            </w:r>
          </w:p>
        </w:tc>
        <w:tc>
          <w:tcPr>
            <w:tcW w:w="4531" w:type="dxa"/>
          </w:tcPr>
          <w:p w:rsidR="00485964" w:rsidRDefault="00485964" w:rsidP="00485964">
            <w:r>
              <w:t>Dış ticaret kavramı ve türleri hakkında bilgi sahibi olur.</w:t>
            </w:r>
          </w:p>
          <w:p w:rsidR="00485964" w:rsidRDefault="00485964" w:rsidP="00485964"/>
          <w:p w:rsidR="00485964" w:rsidRDefault="00485964" w:rsidP="00485964">
            <w:r>
              <w:t xml:space="preserve">Dış Ticaret’ te kullanılan belgeler ve ödeme yöntemleri </w:t>
            </w:r>
            <w:r w:rsidR="0031185C">
              <w:t>hakkında bilgi</w:t>
            </w:r>
            <w:r>
              <w:t xml:space="preserve"> sahibi olur. </w:t>
            </w:r>
          </w:p>
          <w:p w:rsidR="00485964" w:rsidRDefault="00485964" w:rsidP="00485964"/>
          <w:p w:rsidR="00485964" w:rsidRDefault="00485964" w:rsidP="00485964">
            <w:r>
              <w:t>Dış ticaret teslim şekilleri konusunda bilgi sahibi olur.</w:t>
            </w:r>
          </w:p>
          <w:p w:rsidR="00485964" w:rsidRDefault="00485964" w:rsidP="00485964"/>
          <w:p w:rsidR="00485964" w:rsidRDefault="00485964" w:rsidP="00485964">
            <w:r>
              <w:t xml:space="preserve">Uluslararası ticaret, kıymetli evrak ve kambiyo konularına </w:t>
            </w:r>
            <w:proofErr w:type="gramStart"/>
            <w:r>
              <w:t>hakim</w:t>
            </w:r>
            <w:proofErr w:type="gramEnd"/>
            <w:r>
              <w:t xml:space="preserve"> olur. </w:t>
            </w:r>
          </w:p>
          <w:p w:rsidR="00504F25" w:rsidRDefault="00504F25" w:rsidP="00504F25"/>
        </w:tc>
      </w:tr>
      <w:tr w:rsidR="00504F25" w:rsidTr="00E53F85">
        <w:tc>
          <w:tcPr>
            <w:tcW w:w="4531" w:type="dxa"/>
          </w:tcPr>
          <w:p w:rsidR="00504F25" w:rsidRDefault="00504F25" w:rsidP="00504F25">
            <w:r>
              <w:t>Derslere Göre Kazanımlar</w:t>
            </w:r>
          </w:p>
        </w:tc>
        <w:tc>
          <w:tcPr>
            <w:tcW w:w="4531" w:type="dxa"/>
          </w:tcPr>
          <w:p w:rsidR="00504F25" w:rsidRDefault="008D6288" w:rsidP="00504F25">
            <w:r>
              <w:t xml:space="preserve"> Ayrı dosyada gösterilmiştir. </w:t>
            </w:r>
          </w:p>
        </w:tc>
      </w:tr>
      <w:tr w:rsidR="00504F25" w:rsidTr="00E53F85">
        <w:tc>
          <w:tcPr>
            <w:tcW w:w="4531" w:type="dxa"/>
          </w:tcPr>
          <w:p w:rsidR="00504F25" w:rsidRDefault="00504F25" w:rsidP="00504F25">
            <w:r>
              <w:t>Program Kabul Koşulları</w:t>
            </w:r>
          </w:p>
        </w:tc>
        <w:tc>
          <w:tcPr>
            <w:tcW w:w="4531" w:type="dxa"/>
          </w:tcPr>
          <w:p w:rsidR="00504F25" w:rsidRDefault="00504F25" w:rsidP="00504F25">
            <w:pPr>
              <w:jc w:val="both"/>
            </w:pPr>
            <w:r>
              <w:t xml:space="preserve">          L</w:t>
            </w:r>
            <w:r w:rsidRPr="00E53F85">
              <w:t xml:space="preserve">ise ve </w:t>
            </w:r>
            <w:r>
              <w:t xml:space="preserve">lise dengi okul </w:t>
            </w:r>
            <w:r w:rsidRPr="00E53F85">
              <w:t>mezunu öğrenciler</w:t>
            </w:r>
            <w:r w:rsidR="00485964">
              <w:t xml:space="preserve"> için, </w:t>
            </w:r>
            <w:r w:rsidRPr="00E53F85">
              <w:t xml:space="preserve"> Yükseköğretim Kurulu Ölçme Seçme ve Yerleştirme Merkezi tar</w:t>
            </w:r>
            <w:r>
              <w:t xml:space="preserve">afından yapılan sınav sonucu ilgili </w:t>
            </w:r>
            <w:r w:rsidRPr="00E53F85">
              <w:t>puan türünde yeterli puanı almış</w:t>
            </w:r>
            <w:r>
              <w:t xml:space="preserve"> olmak.</w:t>
            </w:r>
            <w:r w:rsidRPr="00E53F85">
              <w:t xml:space="preserve"> Programlara ayrıca, yatay geçiş yoluyla da öğrenci kabul edilmektedir. Bu geçişler bir yönerge ile düzenlenmiştir ve öğrenciler farklı yükseköğretim kurumlarının diploma programları veya aynı yükseköğretim kurumu içindeki diploma programları arasında ancak önceden ilan edilen sayı ve geçiş şartları çerçevesinde geçiş yapabilirler.</w:t>
            </w:r>
          </w:p>
        </w:tc>
      </w:tr>
      <w:tr w:rsidR="00504F25" w:rsidTr="00E53F85">
        <w:tc>
          <w:tcPr>
            <w:tcW w:w="4531" w:type="dxa"/>
          </w:tcPr>
          <w:p w:rsidR="00504F25" w:rsidRDefault="00504F25" w:rsidP="00504F25">
            <w:r>
              <w:t>Önceki Öğrenim Durumu</w:t>
            </w:r>
          </w:p>
        </w:tc>
        <w:tc>
          <w:tcPr>
            <w:tcW w:w="4531" w:type="dxa"/>
          </w:tcPr>
          <w:p w:rsidR="00504F25" w:rsidRDefault="00485964" w:rsidP="00485964">
            <w:pPr>
              <w:jc w:val="both"/>
            </w:pPr>
            <w:r w:rsidRPr="00485964">
              <w:t>Türk</w:t>
            </w:r>
            <w:r>
              <w:t>iye’deki</w:t>
            </w:r>
            <w:r w:rsidRPr="00485964">
              <w:t xml:space="preserve"> Yüksek Öğretim kurumlarında önceki </w:t>
            </w:r>
            <w:proofErr w:type="spellStart"/>
            <w:r w:rsidRPr="00485964">
              <w:t>formal</w:t>
            </w:r>
            <w:proofErr w:type="spellEnd"/>
            <w:r w:rsidRPr="00485964">
              <w:t xml:space="preserve"> (örgün) öğrenmenin tanınması dikey, yatay</w:t>
            </w:r>
            <w:r>
              <w:t xml:space="preserve"> ve üniversite içindeki g</w:t>
            </w:r>
            <w:r w:rsidRPr="00485964">
              <w:t>eçişler Yüksek Öğretim Kurulu'nun belirlemiş olduğu "YÜKSEKÖĞRETİM KURUMLARINDA ÖNLİSANS VE LİSANS DÜZEYİNDEKİ PROGRAMLAR ARASINDA GEÇİŞ, ÇİFT ANADAL, YAN DAL İLE KURUMLAR ARASI KREDİ TRANSFERİ YAPILMASI ESASLARINA İLİŞKİN YÖNETMELİK " kapsamında gerçekleştirilmektedir.</w:t>
            </w:r>
          </w:p>
        </w:tc>
      </w:tr>
      <w:tr w:rsidR="00504F25" w:rsidTr="00E53F85">
        <w:tc>
          <w:tcPr>
            <w:tcW w:w="4531" w:type="dxa"/>
          </w:tcPr>
          <w:p w:rsidR="00504F25" w:rsidRDefault="00504F25" w:rsidP="00504F25">
            <w:r>
              <w:t>Dikey Geçiş Yapılabilen Bölümler</w:t>
            </w:r>
          </w:p>
        </w:tc>
        <w:tc>
          <w:tcPr>
            <w:tcW w:w="4531" w:type="dxa"/>
          </w:tcPr>
          <w:p w:rsidR="00485964" w:rsidRDefault="00485964" w:rsidP="00485964">
            <w:r>
              <w:t xml:space="preserve">Dış Ticaret Bankacılık </w:t>
            </w:r>
          </w:p>
          <w:p w:rsidR="00485964" w:rsidRDefault="00485964" w:rsidP="00485964">
            <w:r>
              <w:t xml:space="preserve">Bankacılık ve Finans </w:t>
            </w:r>
          </w:p>
          <w:p w:rsidR="00485964" w:rsidRDefault="00485964" w:rsidP="00485964">
            <w:r>
              <w:t xml:space="preserve">Bankacılık ve Finansman </w:t>
            </w:r>
          </w:p>
          <w:p w:rsidR="00485964" w:rsidRDefault="00485964" w:rsidP="00485964">
            <w:r>
              <w:t xml:space="preserve">Bankacılık ve Sigortacılık </w:t>
            </w:r>
          </w:p>
          <w:p w:rsidR="00485964" w:rsidRDefault="00485964" w:rsidP="00485964">
            <w:r>
              <w:t xml:space="preserve">Çalışma Ekonomisi ve Endüstri İlişkileri </w:t>
            </w:r>
          </w:p>
          <w:p w:rsidR="00485964" w:rsidRDefault="00485964" w:rsidP="00485964">
            <w:r>
              <w:t xml:space="preserve">Ekonomi </w:t>
            </w:r>
          </w:p>
          <w:p w:rsidR="00485964" w:rsidRDefault="00485964" w:rsidP="00485964">
            <w:r>
              <w:t xml:space="preserve">Ekonomi ve </w:t>
            </w:r>
            <w:proofErr w:type="gramStart"/>
            <w:r>
              <w:t>Finans  İktisat</w:t>
            </w:r>
            <w:proofErr w:type="gramEnd"/>
            <w:r>
              <w:t xml:space="preserve"> </w:t>
            </w:r>
          </w:p>
          <w:p w:rsidR="00485964" w:rsidRDefault="00485964" w:rsidP="00485964">
            <w:r>
              <w:t xml:space="preserve">İşletme </w:t>
            </w:r>
          </w:p>
          <w:p w:rsidR="00485964" w:rsidRDefault="00485964" w:rsidP="00485964">
            <w:r>
              <w:lastRenderedPageBreak/>
              <w:t xml:space="preserve">İşletme Bilgi Yönetimi </w:t>
            </w:r>
          </w:p>
          <w:p w:rsidR="00485964" w:rsidRDefault="00485964" w:rsidP="00485964">
            <w:r>
              <w:t>İşletme Enformatiği</w:t>
            </w:r>
          </w:p>
          <w:p w:rsidR="00485964" w:rsidRDefault="00485964" w:rsidP="00485964">
            <w:r>
              <w:t>İşletme-Ekonomi,</w:t>
            </w:r>
          </w:p>
          <w:p w:rsidR="00485964" w:rsidRDefault="00485964" w:rsidP="00485964">
            <w:r>
              <w:t xml:space="preserve">Lojistik Yönetimi </w:t>
            </w:r>
          </w:p>
          <w:p w:rsidR="00485964" w:rsidRDefault="00485964" w:rsidP="00485964">
            <w:r>
              <w:t xml:space="preserve">Sermaye Piyasası </w:t>
            </w:r>
          </w:p>
          <w:p w:rsidR="00485964" w:rsidRDefault="00485964" w:rsidP="00485964">
            <w:r>
              <w:t>Sermaye Piyasası Denetim ve Derecelendirme</w:t>
            </w:r>
          </w:p>
          <w:p w:rsidR="00485964" w:rsidRDefault="00485964" w:rsidP="00485964">
            <w:r>
              <w:t xml:space="preserve">Uluslararası Finans </w:t>
            </w:r>
          </w:p>
          <w:p w:rsidR="00485964" w:rsidRDefault="00485964" w:rsidP="00485964">
            <w:r>
              <w:t xml:space="preserve">Uluslararası Finans ve Bankacılık </w:t>
            </w:r>
          </w:p>
          <w:p w:rsidR="00485964" w:rsidRDefault="00485964" w:rsidP="00485964">
            <w:r>
              <w:t xml:space="preserve">Uluslararası İşletme </w:t>
            </w:r>
          </w:p>
          <w:p w:rsidR="00485964" w:rsidRDefault="00485964" w:rsidP="00485964">
            <w:r>
              <w:t xml:space="preserve">Uluslararası İşletmecilik </w:t>
            </w:r>
          </w:p>
          <w:p w:rsidR="00485964" w:rsidRDefault="00485964" w:rsidP="00485964">
            <w:r>
              <w:t xml:space="preserve">Uluslararası İşletmecilik ve Ticaret </w:t>
            </w:r>
          </w:p>
          <w:p w:rsidR="00485964" w:rsidRDefault="00485964" w:rsidP="00485964">
            <w:r>
              <w:t xml:space="preserve">Uluslararası Lojistik </w:t>
            </w:r>
          </w:p>
          <w:p w:rsidR="00485964" w:rsidRDefault="00485964" w:rsidP="00485964">
            <w:r>
              <w:t xml:space="preserve">Uluslararası Ticaret </w:t>
            </w:r>
          </w:p>
          <w:p w:rsidR="00485964" w:rsidRDefault="00485964" w:rsidP="00485964">
            <w:r>
              <w:t xml:space="preserve">Uluslararası Ticaret ve Finans </w:t>
            </w:r>
          </w:p>
          <w:p w:rsidR="00485964" w:rsidRDefault="00485964" w:rsidP="00485964">
            <w:r>
              <w:t xml:space="preserve">Uluslararası Ticaret ve Finansman </w:t>
            </w:r>
          </w:p>
          <w:p w:rsidR="00485964" w:rsidRDefault="00485964" w:rsidP="00485964">
            <w:r>
              <w:t xml:space="preserve">Uluslararası Ticaret ve İşletmecilik </w:t>
            </w:r>
          </w:p>
          <w:p w:rsidR="00485964" w:rsidRDefault="00485964" w:rsidP="00485964">
            <w:r>
              <w:t xml:space="preserve">Uluslararası Ticaret ve Lojistik </w:t>
            </w:r>
          </w:p>
          <w:p w:rsidR="00504F25" w:rsidRDefault="00485964" w:rsidP="00485964">
            <w:r>
              <w:t>Uluslararası Ticaret ve Pazarlama</w:t>
            </w:r>
          </w:p>
        </w:tc>
      </w:tr>
      <w:tr w:rsidR="00043669" w:rsidTr="00E53F85">
        <w:tc>
          <w:tcPr>
            <w:tcW w:w="4531" w:type="dxa"/>
          </w:tcPr>
          <w:p w:rsidR="00043669" w:rsidRDefault="00043669" w:rsidP="00504F25">
            <w:r>
              <w:lastRenderedPageBreak/>
              <w:t>Üst Derece Programlara Geçiş</w:t>
            </w:r>
          </w:p>
        </w:tc>
        <w:tc>
          <w:tcPr>
            <w:tcW w:w="4531" w:type="dxa"/>
          </w:tcPr>
          <w:p w:rsidR="00043669" w:rsidRDefault="00043669" w:rsidP="00485964">
            <w:proofErr w:type="gramStart"/>
            <w:r w:rsidRPr="00043669">
              <w:t xml:space="preserve">Bu programdan mezun olan öğrenciler, Dikey Geçiş Sınavını kazanmaları halinde Bankacılık, Bankacılık ve Finans, Bankacılık ve Finansman, Çalışma Ekonomisi ve Endüstri İlişkileri, İşletme, İşletme Bilgi Yönetimi, İşletme Enformatiği, İşletme Öğretmenliği, İşletme-Ekonomi, Lojistik Yönetimi, Sağlık Kurumları İşletmeciliği, Sermaye Piyasası, Sigortacılık, Sigortacılık ve Risk Yönetimi, Uluslararası Finans, Uluslararası İşletme, Uluslararası İşletmecilik, Uluslararası Ticaret, Uluslararası Ticaret ve Finansman, Uluslararası Ticaret ve İşletmecilik, Yönetim Bilişim Sistemleri lisans programlarına yerleştirilebilirler. </w:t>
            </w:r>
            <w:proofErr w:type="gramEnd"/>
            <w:r w:rsidRPr="00043669">
              <w:t>Ancak Öğrenciler mezun olduktan sonra istemeleri halinde, Açık öğretim yoluyla eğitim veren fakültelerin bünyesindeki ilgili bölümlere DGS ye girmeksizin dikey geçiş yapabilir ve böylece 3. sınıftan devam ederek öğrenimlerini 4 yıllık lisans diploması ile sonuçlandırabilirler</w:t>
            </w:r>
            <w:r>
              <w:rPr>
                <w:rFonts w:ascii="Tahoma" w:hAnsi="Tahoma" w:cs="Tahoma"/>
                <w:color w:val="000000"/>
                <w:sz w:val="16"/>
                <w:szCs w:val="16"/>
                <w:shd w:val="clear" w:color="auto" w:fill="FFFFFF"/>
              </w:rPr>
              <w:t>.</w:t>
            </w:r>
          </w:p>
        </w:tc>
        <w:bookmarkStart w:id="0" w:name="_GoBack"/>
        <w:bookmarkEnd w:id="0"/>
      </w:tr>
      <w:tr w:rsidR="00504F25" w:rsidTr="00E53F85">
        <w:tc>
          <w:tcPr>
            <w:tcW w:w="4531" w:type="dxa"/>
          </w:tcPr>
          <w:p w:rsidR="00504F25" w:rsidRDefault="00504F25" w:rsidP="00504F25">
            <w:r>
              <w:t>Ölçme Değerlendirme Sistemi</w:t>
            </w:r>
          </w:p>
        </w:tc>
        <w:tc>
          <w:tcPr>
            <w:tcW w:w="4531" w:type="dxa"/>
          </w:tcPr>
          <w:p w:rsidR="00504F25" w:rsidRDefault="004309E0" w:rsidP="004309E0">
            <w:r>
              <w:t xml:space="preserve">Ölçüm ve değerlendirme </w:t>
            </w:r>
            <w:proofErr w:type="gramStart"/>
            <w:r>
              <w:t>kriterleri</w:t>
            </w:r>
            <w:proofErr w:type="gramEnd"/>
            <w:r>
              <w:t xml:space="preserve">;  </w:t>
            </w:r>
            <w:r w:rsidR="00485964" w:rsidRPr="00D15D66">
              <w:t>Programda</w:t>
            </w:r>
            <w:r>
              <w:t xml:space="preserve"> alınan </w:t>
            </w:r>
            <w:r w:rsidRPr="00D15D66">
              <w:t>zorunlu</w:t>
            </w:r>
            <w:r w:rsidR="00485964">
              <w:t xml:space="preserve"> ve s</w:t>
            </w:r>
            <w:r>
              <w:t xml:space="preserve">eçmeli derslerin tümünü başarıyla </w:t>
            </w:r>
            <w:r w:rsidR="00485964">
              <w:t xml:space="preserve">tamamlamak,  120 AKTS’ </w:t>
            </w:r>
            <w:proofErr w:type="spellStart"/>
            <w:r>
              <w:t>yi</w:t>
            </w:r>
            <w:proofErr w:type="spellEnd"/>
            <w:r w:rsidR="00485964">
              <w:t xml:space="preserve"> </w:t>
            </w:r>
            <w:r>
              <w:t>sağlamak ve</w:t>
            </w:r>
            <w:r w:rsidR="00485964" w:rsidRPr="00D15D66">
              <w:t xml:space="preserve"> 4.00 üzerinden en az 2.00 ağırlık</w:t>
            </w:r>
            <w:r>
              <w:t>lı not or</w:t>
            </w:r>
            <w:r w:rsidR="00CD3A40">
              <w:t>talamasına sahip olması gerekir.</w:t>
            </w:r>
          </w:p>
        </w:tc>
      </w:tr>
      <w:tr w:rsidR="00504F25" w:rsidTr="00E53F85">
        <w:tc>
          <w:tcPr>
            <w:tcW w:w="4531" w:type="dxa"/>
          </w:tcPr>
          <w:p w:rsidR="00504F25" w:rsidRDefault="00504F25" w:rsidP="00504F25">
            <w:r>
              <w:t>Mezuniyet Koşulları</w:t>
            </w:r>
          </w:p>
        </w:tc>
        <w:tc>
          <w:tcPr>
            <w:tcW w:w="4531" w:type="dxa"/>
          </w:tcPr>
          <w:p w:rsidR="00485964" w:rsidRPr="00485964" w:rsidRDefault="004309E0" w:rsidP="00485964">
            <w:r w:rsidRPr="00485964">
              <w:t>Üniversitemizde uygulanan Bağıl Değerlendirme Sistemine göre</w:t>
            </w:r>
            <w:r>
              <w:t xml:space="preserve"> Alması gereken </w:t>
            </w:r>
            <w:r w:rsidRPr="00485964">
              <w:t>tüm</w:t>
            </w:r>
            <w:r w:rsidR="00485964" w:rsidRPr="00485964">
              <w:t xml:space="preserve"> derslerden başa</w:t>
            </w:r>
            <w:r>
              <w:t xml:space="preserve">rılı olan, yeterli AKTS’ </w:t>
            </w:r>
            <w:proofErr w:type="spellStart"/>
            <w:r>
              <w:t>yi</w:t>
            </w:r>
            <w:proofErr w:type="spellEnd"/>
            <w:r>
              <w:t xml:space="preserve"> tamamlayan, </w:t>
            </w:r>
            <w:r w:rsidR="00485964" w:rsidRPr="00485964">
              <w:t>30 iş günü ola</w:t>
            </w:r>
            <w:r>
              <w:t xml:space="preserve">n yasal Staj süresini yapmış </w:t>
            </w:r>
            <w:r w:rsidRPr="00485964">
              <w:t>ortalaması</w:t>
            </w:r>
            <w:r w:rsidR="00485964" w:rsidRPr="00485964">
              <w:t xml:space="preserve"> en az 2.00 </w:t>
            </w:r>
            <w:r w:rsidRPr="00485964">
              <w:t>olan öğrencilerimiz</w:t>
            </w:r>
            <w:r w:rsidR="00485964" w:rsidRPr="00485964">
              <w:t xml:space="preserve"> mezun olmaya hak kazanmaktadırlar.</w:t>
            </w:r>
          </w:p>
          <w:p w:rsidR="00504F25" w:rsidRDefault="00504F25" w:rsidP="00504F25"/>
        </w:tc>
      </w:tr>
      <w:tr w:rsidR="00504F25" w:rsidTr="00E53F85">
        <w:tc>
          <w:tcPr>
            <w:tcW w:w="4531" w:type="dxa"/>
          </w:tcPr>
          <w:p w:rsidR="00504F25" w:rsidRDefault="00504F25" w:rsidP="00504F25">
            <w:r>
              <w:lastRenderedPageBreak/>
              <w:t>İstihdam Olanakları</w:t>
            </w:r>
          </w:p>
        </w:tc>
        <w:tc>
          <w:tcPr>
            <w:tcW w:w="4531" w:type="dxa"/>
          </w:tcPr>
          <w:p w:rsidR="004309E0" w:rsidRPr="004309E0" w:rsidRDefault="004309E0" w:rsidP="004309E0">
            <w:r w:rsidRPr="004309E0">
              <w:t>Dış ticaret elemanları çeşitli dış ticaret bürolarında çalışırlar</w:t>
            </w:r>
          </w:p>
          <w:p w:rsidR="004309E0" w:rsidRPr="004309E0" w:rsidRDefault="004309E0" w:rsidP="004309E0"/>
          <w:p w:rsidR="004309E0" w:rsidRPr="004309E0" w:rsidRDefault="004309E0" w:rsidP="004309E0">
            <w:r w:rsidRPr="004309E0">
              <w:t>Dış ticaret ön lisans programından mezun olanlar Maliye Bakanlığı, Gümrük Müsteşarlığı ve bağlı birimlerinde görev alabilirler. </w:t>
            </w:r>
          </w:p>
          <w:p w:rsidR="004309E0" w:rsidRPr="004309E0" w:rsidRDefault="004309E0" w:rsidP="004309E0"/>
          <w:p w:rsidR="004309E0" w:rsidRPr="004309E0" w:rsidRDefault="004309E0" w:rsidP="004309E0">
            <w:r w:rsidRPr="004309E0">
              <w:t>Meslek elemanları ithalat-ihracatla uğraşan tüm işyerlerinde iş bulabilirler</w:t>
            </w:r>
          </w:p>
          <w:p w:rsidR="004309E0" w:rsidRPr="004309E0" w:rsidRDefault="004309E0" w:rsidP="004309E0"/>
          <w:p w:rsidR="004309E0" w:rsidRPr="004309E0" w:rsidRDefault="004309E0" w:rsidP="004309E0">
            <w:r w:rsidRPr="004309E0">
              <w:t>Bankaların kambiyo bölümü meslek elemanlarının çalışabileceği yerlerdir.</w:t>
            </w:r>
          </w:p>
          <w:p w:rsidR="004309E0" w:rsidRPr="004309E0" w:rsidRDefault="004309E0" w:rsidP="004309E0"/>
          <w:p w:rsidR="00504F25" w:rsidRDefault="004309E0" w:rsidP="004309E0">
            <w:r w:rsidRPr="004309E0">
              <w:t>Avrupa Birliğine girildiğinde bu meslek elemanlarına olan talebin artacağı düşünülmektedir</w:t>
            </w:r>
          </w:p>
        </w:tc>
      </w:tr>
    </w:tbl>
    <w:p w:rsidR="00E53F85" w:rsidRDefault="00E53F85"/>
    <w:p w:rsidR="005B45BB" w:rsidRDefault="005B45BB"/>
    <w:p w:rsidR="005B45BB" w:rsidRDefault="005B45BB"/>
    <w:p w:rsidR="005B45BB" w:rsidRDefault="005B45BB"/>
    <w:p w:rsidR="005B45BB" w:rsidRDefault="005B45BB"/>
    <w:p w:rsidR="005B45BB" w:rsidRDefault="005B45BB"/>
    <w:sectPr w:rsidR="005B4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85"/>
    <w:rsid w:val="00043669"/>
    <w:rsid w:val="001739F9"/>
    <w:rsid w:val="001A4BD3"/>
    <w:rsid w:val="0031185C"/>
    <w:rsid w:val="004309E0"/>
    <w:rsid w:val="00485964"/>
    <w:rsid w:val="004A06B1"/>
    <w:rsid w:val="00504F25"/>
    <w:rsid w:val="005B45BB"/>
    <w:rsid w:val="00884331"/>
    <w:rsid w:val="008D6288"/>
    <w:rsid w:val="00CD3A40"/>
    <w:rsid w:val="00E53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8950"/>
  <w15:chartTrackingRefBased/>
  <w15:docId w15:val="{8F016FDA-6DBC-41D8-91BB-276FB07C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6</cp:revision>
  <dcterms:created xsi:type="dcterms:W3CDTF">2017-11-15T13:48:00Z</dcterms:created>
  <dcterms:modified xsi:type="dcterms:W3CDTF">2017-11-15T18:54:00Z</dcterms:modified>
</cp:coreProperties>
</file>